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65" w:rsidRDefault="00286E65" w:rsidP="00286E65">
      <w:pPr>
        <w:spacing w:after="0" w:line="240" w:lineRule="auto"/>
        <w:jc w:val="center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/>
          <w:b/>
          <w:bCs/>
          <w:sz w:val="28"/>
          <w:szCs w:val="28"/>
        </w:rPr>
        <w:t xml:space="preserve">ISTITUTO COMPRENSIVO DI TRAONA </w:t>
      </w:r>
    </w:p>
    <w:p w:rsidR="00286E65" w:rsidRPr="00286E65" w:rsidRDefault="00286E65" w:rsidP="00286E65">
      <w:pPr>
        <w:spacing w:after="0" w:line="240" w:lineRule="auto"/>
        <w:jc w:val="center"/>
        <w:rPr>
          <w:rFonts w:ascii="Arial-BoldMT" w:cs="Arial-BoldMT"/>
          <w:bCs/>
          <w:sz w:val="18"/>
          <w:szCs w:val="18"/>
        </w:rPr>
      </w:pPr>
      <w:r w:rsidRPr="00286E65">
        <w:rPr>
          <w:rFonts w:ascii="Arial-BoldMT" w:cs="Arial-BoldMT"/>
          <w:bCs/>
          <w:sz w:val="18"/>
          <w:szCs w:val="18"/>
        </w:rPr>
        <w:t xml:space="preserve">Codice meccanografico SOIC81200L </w:t>
      </w:r>
      <w:r w:rsidRPr="00286E65">
        <w:rPr>
          <w:rFonts w:ascii="Arial-BoldMT" w:cs="Arial-BoldMT"/>
          <w:bCs/>
          <w:sz w:val="18"/>
          <w:szCs w:val="18"/>
        </w:rPr>
        <w:t>–</w:t>
      </w:r>
      <w:r w:rsidRPr="00286E65">
        <w:rPr>
          <w:rFonts w:ascii="Arial-BoldMT" w:cs="Arial-BoldMT"/>
          <w:bCs/>
          <w:sz w:val="18"/>
          <w:szCs w:val="18"/>
        </w:rPr>
        <w:t xml:space="preserve"> codice fiscale 82003850144</w:t>
      </w:r>
    </w:p>
    <w:p w:rsidR="00286E65" w:rsidRPr="00286E65" w:rsidRDefault="00286E65" w:rsidP="00286E65">
      <w:pPr>
        <w:spacing w:after="0" w:line="240" w:lineRule="auto"/>
        <w:jc w:val="center"/>
        <w:rPr>
          <w:rFonts w:ascii="Arial-BoldMT" w:cs="Arial-BoldMT"/>
          <w:bCs/>
        </w:rPr>
      </w:pPr>
      <w:r w:rsidRPr="00286E65">
        <w:rPr>
          <w:rFonts w:ascii="Arial-BoldMT" w:cs="Arial-BoldMT"/>
          <w:bCs/>
        </w:rPr>
        <w:t xml:space="preserve">Via Aldo Moro, 6  </w:t>
      </w:r>
    </w:p>
    <w:p w:rsidR="00286E65" w:rsidRPr="00286E65" w:rsidRDefault="00286E65" w:rsidP="00286E65">
      <w:pPr>
        <w:spacing w:after="0" w:line="240" w:lineRule="auto"/>
        <w:jc w:val="center"/>
        <w:rPr>
          <w:rFonts w:ascii="Arial-BoldMT" w:cs="Arial-BoldMT"/>
          <w:bCs/>
          <w:sz w:val="28"/>
          <w:szCs w:val="28"/>
        </w:rPr>
      </w:pPr>
      <w:r w:rsidRPr="00286E65">
        <w:rPr>
          <w:rFonts w:ascii="Arial-BoldMT" w:cs="Arial-BoldMT"/>
          <w:bCs/>
          <w:sz w:val="28"/>
          <w:szCs w:val="28"/>
        </w:rPr>
        <w:t>23019 - TRAONA</w:t>
      </w:r>
    </w:p>
    <w:p w:rsidR="00286E65" w:rsidRDefault="00286E65" w:rsidP="00286E65">
      <w:pPr>
        <w:jc w:val="center"/>
        <w:rPr>
          <w:rFonts w:ascii="Arial-BoldMT" w:cs="Arial-BoldMT"/>
          <w:b/>
          <w:bCs/>
          <w:sz w:val="28"/>
          <w:szCs w:val="28"/>
        </w:rPr>
      </w:pPr>
    </w:p>
    <w:p w:rsidR="00286E65" w:rsidRDefault="00286E65" w:rsidP="00286E65">
      <w:pPr>
        <w:jc w:val="center"/>
        <w:rPr>
          <w:rFonts w:ascii="Arial-BoldMT" w:cs="Arial-BoldMT"/>
          <w:b/>
          <w:bCs/>
          <w:sz w:val="28"/>
          <w:szCs w:val="28"/>
        </w:rPr>
      </w:pPr>
    </w:p>
    <w:p w:rsidR="00286E65" w:rsidRDefault="00286E65" w:rsidP="00286E65">
      <w:pPr>
        <w:jc w:val="center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/>
          <w:b/>
          <w:bCs/>
          <w:sz w:val="28"/>
          <w:szCs w:val="28"/>
        </w:rPr>
        <w:t>A.S. 2015/2016</w:t>
      </w:r>
    </w:p>
    <w:p w:rsidR="00157358" w:rsidRDefault="00157358" w:rsidP="00157358">
      <w:pPr>
        <w:jc w:val="center"/>
      </w:pPr>
      <w:r>
        <w:rPr>
          <w:rFonts w:ascii="Arial-BoldMT" w:cs="Arial-BoldMT"/>
          <w:b/>
          <w:bCs/>
          <w:sz w:val="28"/>
          <w:szCs w:val="28"/>
        </w:rPr>
        <w:t>Risorse finanziarie per la valorizzazione del merito del personale</w:t>
      </w:r>
    </w:p>
    <w:tbl>
      <w:tblPr>
        <w:tblStyle w:val="Grigliatabella"/>
        <w:tblpPr w:leftFromText="141" w:rightFromText="141" w:vertAnchor="page" w:horzAnchor="page" w:tblpX="1846" w:tblpY="4606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2126"/>
        <w:gridCol w:w="2835"/>
      </w:tblGrid>
      <w:tr w:rsidR="00157358" w:rsidTr="00157358">
        <w:tc>
          <w:tcPr>
            <w:tcW w:w="2972" w:type="dxa"/>
          </w:tcPr>
          <w:p w:rsidR="00157358" w:rsidRDefault="00157358" w:rsidP="00157358">
            <w:pPr>
              <w:autoSpaceDE w:val="0"/>
              <w:autoSpaceDN w:val="0"/>
              <w:adjustRightInd w:val="0"/>
              <w:rPr>
                <w:rFonts w:asci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cs="Arial-BoldMT"/>
                <w:b/>
                <w:bCs/>
                <w:sz w:val="24"/>
                <w:szCs w:val="24"/>
              </w:rPr>
              <w:t>Tipologia di</w:t>
            </w:r>
          </w:p>
          <w:p w:rsidR="00157358" w:rsidRDefault="00157358" w:rsidP="00157358">
            <w:pPr>
              <w:autoSpaceDE w:val="0"/>
              <w:autoSpaceDN w:val="0"/>
              <w:adjustRightInd w:val="0"/>
              <w:rPr>
                <w:rFonts w:asci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cs="Arial-BoldMT"/>
                <w:b/>
                <w:bCs/>
                <w:sz w:val="24"/>
                <w:szCs w:val="24"/>
              </w:rPr>
              <w:t>Personale</w:t>
            </w:r>
          </w:p>
          <w:p w:rsidR="00157358" w:rsidRDefault="00157358" w:rsidP="00157358">
            <w:pPr>
              <w:autoSpaceDE w:val="0"/>
              <w:autoSpaceDN w:val="0"/>
              <w:adjustRightInd w:val="0"/>
              <w:rPr>
                <w:rFonts w:ascii="Arial-BoldMT" w:cs="Arial-BoldMT"/>
                <w:b/>
                <w:bCs/>
                <w:sz w:val="24"/>
                <w:szCs w:val="24"/>
              </w:rPr>
            </w:pPr>
          </w:p>
          <w:p w:rsidR="00157358" w:rsidRDefault="00157358" w:rsidP="00157358"/>
        </w:tc>
        <w:tc>
          <w:tcPr>
            <w:tcW w:w="2126" w:type="dxa"/>
          </w:tcPr>
          <w:p w:rsidR="00157358" w:rsidRDefault="00157358" w:rsidP="00157358">
            <w:r>
              <w:rPr>
                <w:rFonts w:ascii="Arial-BoldMT" w:cs="Arial-BoldMT"/>
                <w:b/>
                <w:bCs/>
                <w:sz w:val="24"/>
                <w:szCs w:val="24"/>
              </w:rPr>
              <w:t xml:space="preserve">Lordo Stato </w:t>
            </w:r>
          </w:p>
        </w:tc>
        <w:tc>
          <w:tcPr>
            <w:tcW w:w="1985" w:type="dxa"/>
          </w:tcPr>
          <w:p w:rsidR="00157358" w:rsidRDefault="00157358" w:rsidP="00157358">
            <w:r>
              <w:rPr>
                <w:rFonts w:ascii="Arial-BoldMT" w:cs="Arial-BoldMT"/>
                <w:b/>
                <w:bCs/>
                <w:sz w:val="24"/>
                <w:szCs w:val="24"/>
              </w:rPr>
              <w:t>Lordo dipendente</w:t>
            </w:r>
          </w:p>
        </w:tc>
        <w:tc>
          <w:tcPr>
            <w:tcW w:w="2126" w:type="dxa"/>
          </w:tcPr>
          <w:p w:rsidR="00157358" w:rsidRDefault="00157358" w:rsidP="00157358">
            <w:pPr>
              <w:autoSpaceDE w:val="0"/>
              <w:autoSpaceDN w:val="0"/>
              <w:adjustRightInd w:val="0"/>
              <w:rPr>
                <w:rFonts w:asci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cs="Arial-BoldMT"/>
                <w:b/>
                <w:bCs/>
                <w:sz w:val="24"/>
                <w:szCs w:val="24"/>
              </w:rPr>
              <w:t>Assegnato e</w:t>
            </w:r>
          </w:p>
          <w:p w:rsidR="00157358" w:rsidRDefault="00157358" w:rsidP="00157358">
            <w:pPr>
              <w:autoSpaceDE w:val="0"/>
              <w:autoSpaceDN w:val="0"/>
              <w:adjustRightInd w:val="0"/>
              <w:rPr>
                <w:rFonts w:ascii="Arial-BoldMT" w:cs="Arial-BoldMT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-BoldMT" w:cs="Arial-BoldMT"/>
                <w:b/>
                <w:bCs/>
                <w:sz w:val="24"/>
                <w:szCs w:val="24"/>
              </w:rPr>
              <w:t>liquidato</w:t>
            </w:r>
            <w:proofErr w:type="gramEnd"/>
          </w:p>
          <w:p w:rsidR="00157358" w:rsidRDefault="00157358" w:rsidP="00157358"/>
        </w:tc>
        <w:tc>
          <w:tcPr>
            <w:tcW w:w="2835" w:type="dxa"/>
          </w:tcPr>
          <w:p w:rsidR="00157358" w:rsidRDefault="00157358" w:rsidP="00157358">
            <w:pPr>
              <w:autoSpaceDE w:val="0"/>
              <w:autoSpaceDN w:val="0"/>
              <w:adjustRightInd w:val="0"/>
              <w:rPr>
                <w:rFonts w:asci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cs="Arial-BoldMT"/>
                <w:b/>
                <w:bCs/>
                <w:sz w:val="24"/>
                <w:szCs w:val="24"/>
              </w:rPr>
              <w:t>Ancora da</w:t>
            </w:r>
          </w:p>
          <w:p w:rsidR="00157358" w:rsidRDefault="00157358" w:rsidP="00157358">
            <w:proofErr w:type="gramStart"/>
            <w:r>
              <w:rPr>
                <w:rFonts w:ascii="Arial-BoldMT" w:cs="Arial-BoldMT"/>
                <w:b/>
                <w:bCs/>
                <w:sz w:val="24"/>
                <w:szCs w:val="24"/>
              </w:rPr>
              <w:t>assegnare</w:t>
            </w:r>
            <w:proofErr w:type="gramEnd"/>
          </w:p>
        </w:tc>
      </w:tr>
      <w:tr w:rsidR="00157358" w:rsidTr="00157358">
        <w:tc>
          <w:tcPr>
            <w:tcW w:w="2972" w:type="dxa"/>
          </w:tcPr>
          <w:p w:rsidR="00157358" w:rsidRDefault="00157358" w:rsidP="00157358">
            <w:r>
              <w:t xml:space="preserve">DIRIGENTE </w:t>
            </w:r>
          </w:p>
        </w:tc>
        <w:tc>
          <w:tcPr>
            <w:tcW w:w="9072" w:type="dxa"/>
            <w:gridSpan w:val="4"/>
          </w:tcPr>
          <w:p w:rsidR="00157358" w:rsidRPr="00157358" w:rsidRDefault="00157358" w:rsidP="00157358">
            <w:pPr>
              <w:autoSpaceDE w:val="0"/>
              <w:autoSpaceDN w:val="0"/>
              <w:adjustRightInd w:val="0"/>
              <w:rPr>
                <w:rFonts w:ascii="ArialMT" w:cs="ArialMT"/>
                <w:color w:val="000000"/>
              </w:rPr>
            </w:pPr>
            <w:proofErr w:type="gramStart"/>
            <w:r w:rsidRPr="00157358">
              <w:rPr>
                <w:rFonts w:ascii="ArialMT" w:cs="ArialMT"/>
                <w:color w:val="000000"/>
              </w:rPr>
              <w:t>dati</w:t>
            </w:r>
            <w:proofErr w:type="gramEnd"/>
            <w:r w:rsidRPr="00157358">
              <w:rPr>
                <w:rFonts w:ascii="ArialMT" w:cs="ArialMT"/>
                <w:color w:val="000000"/>
              </w:rPr>
              <w:t xml:space="preserve"> riguardo alla </w:t>
            </w:r>
            <w:proofErr w:type="spellStart"/>
            <w:r w:rsidRPr="00157358">
              <w:rPr>
                <w:rFonts w:ascii="ArialMT" w:cs="ArialMT"/>
                <w:color w:val="000000"/>
              </w:rPr>
              <w:t>premialit</w:t>
            </w:r>
            <w:r w:rsidRPr="00157358">
              <w:rPr>
                <w:rFonts w:ascii="ArialMT" w:cs="ArialMT" w:hint="cs"/>
                <w:color w:val="000000"/>
              </w:rPr>
              <w:t>à</w:t>
            </w:r>
            <w:proofErr w:type="spellEnd"/>
            <w:r w:rsidRPr="00157358">
              <w:rPr>
                <w:rFonts w:ascii="ArialMT" w:cs="ArialMT"/>
                <w:color w:val="000000"/>
              </w:rPr>
              <w:t xml:space="preserve"> dei dirigenti si possono trovare sul sito dell</w:t>
            </w:r>
            <w:r w:rsidRPr="00157358">
              <w:rPr>
                <w:rFonts w:ascii="ArialMT" w:cs="ArialMT" w:hint="cs"/>
                <w:color w:val="000000"/>
              </w:rPr>
              <w:t>’</w:t>
            </w:r>
            <w:r w:rsidRPr="00157358">
              <w:rPr>
                <w:rFonts w:ascii="ArialMT" w:cs="ArialMT"/>
                <w:color w:val="000000"/>
              </w:rPr>
              <w:t>USR Lombardia nell</w:t>
            </w:r>
            <w:r w:rsidRPr="00157358">
              <w:rPr>
                <w:rFonts w:ascii="ArialMT" w:cs="ArialMT" w:hint="cs"/>
                <w:color w:val="000000"/>
              </w:rPr>
              <w:t>’</w:t>
            </w:r>
            <w:r w:rsidRPr="00157358">
              <w:rPr>
                <w:rFonts w:ascii="ArialMT" w:cs="ArialMT"/>
                <w:color w:val="000000"/>
              </w:rPr>
              <w:t>area</w:t>
            </w:r>
          </w:p>
          <w:p w:rsidR="00157358" w:rsidRDefault="00157358" w:rsidP="00157358">
            <w:pPr>
              <w:autoSpaceDE w:val="0"/>
              <w:autoSpaceDN w:val="0"/>
              <w:adjustRightInd w:val="0"/>
              <w:rPr>
                <w:rFonts w:ascii="ArialMT" w:cs="ArialMT"/>
                <w:color w:val="000000"/>
              </w:rPr>
            </w:pPr>
            <w:r w:rsidRPr="00157358">
              <w:rPr>
                <w:rFonts w:ascii="ArialMT" w:cs="ArialMT"/>
                <w:color w:val="000000"/>
              </w:rPr>
              <w:t>Amministrazione Trasparente</w:t>
            </w:r>
            <w:r>
              <w:rPr>
                <w:rFonts w:ascii="ArialMT" w:cs="ArialMT"/>
                <w:color w:val="000000"/>
              </w:rPr>
              <w:t>:</w:t>
            </w:r>
            <w:bookmarkStart w:id="0" w:name="_GoBack"/>
            <w:bookmarkEnd w:id="0"/>
          </w:p>
          <w:p w:rsidR="00157358" w:rsidRPr="00157358" w:rsidRDefault="00157358" w:rsidP="00157358">
            <w:pPr>
              <w:autoSpaceDE w:val="0"/>
              <w:autoSpaceDN w:val="0"/>
              <w:adjustRightInd w:val="0"/>
              <w:rPr>
                <w:rFonts w:ascii="ArialMT" w:cs="ArialMT"/>
                <w:color w:val="000000"/>
              </w:rPr>
            </w:pPr>
          </w:p>
          <w:p w:rsidR="00157358" w:rsidRDefault="00157358" w:rsidP="00157358">
            <w:pPr>
              <w:autoSpaceDE w:val="0"/>
              <w:autoSpaceDN w:val="0"/>
              <w:adjustRightInd w:val="0"/>
            </w:pPr>
            <w:hyperlink r:id="rId4" w:history="1">
              <w:r w:rsidRPr="00286E65">
                <w:rPr>
                  <w:rStyle w:val="Collegamentoipertestuale"/>
                </w:rPr>
                <w:t>http://usr.istruzione.lombardia.gov.it/trasparenza/am</w:t>
              </w:r>
              <w:r w:rsidRPr="00286E65">
                <w:rPr>
                  <w:rStyle w:val="Collegamentoipertestuale"/>
                </w:rPr>
                <w:t>m</w:t>
              </w:r>
              <w:r w:rsidRPr="00286E65">
                <w:rPr>
                  <w:rStyle w:val="Collegamentoipertestuale"/>
                </w:rPr>
                <w:t>ontare-complessivo-dei-premi/</w:t>
              </w:r>
            </w:hyperlink>
          </w:p>
          <w:p w:rsidR="00157358" w:rsidRDefault="00157358" w:rsidP="00157358">
            <w:pPr>
              <w:autoSpaceDE w:val="0"/>
              <w:autoSpaceDN w:val="0"/>
              <w:adjustRightInd w:val="0"/>
              <w:rPr>
                <w:rFonts w:ascii="ArialMT" w:cs="ArialMT"/>
                <w:color w:val="000000"/>
                <w:sz w:val="24"/>
                <w:szCs w:val="24"/>
              </w:rPr>
            </w:pPr>
          </w:p>
        </w:tc>
      </w:tr>
      <w:tr w:rsidR="00157358" w:rsidTr="00157358">
        <w:tc>
          <w:tcPr>
            <w:tcW w:w="2972" w:type="dxa"/>
          </w:tcPr>
          <w:p w:rsidR="00157358" w:rsidRPr="00286E65" w:rsidRDefault="00157358" w:rsidP="00157358">
            <w:pPr>
              <w:autoSpaceDE w:val="0"/>
              <w:autoSpaceDN w:val="0"/>
              <w:adjustRightInd w:val="0"/>
              <w:rPr>
                <w:rFonts w:ascii="ArialMT" w:cs="ArialMT"/>
              </w:rPr>
            </w:pPr>
            <w:r w:rsidRPr="00286E65">
              <w:rPr>
                <w:rFonts w:ascii="ArialMT" w:cs="ArialMT"/>
              </w:rPr>
              <w:t>Personale docente</w:t>
            </w:r>
            <w:r>
              <w:rPr>
                <w:rFonts w:ascii="ArialMT" w:cs="ArialMT"/>
              </w:rPr>
              <w:t xml:space="preserve"> </w:t>
            </w:r>
            <w:r w:rsidRPr="00286E65">
              <w:rPr>
                <w:rFonts w:ascii="ArialMT" w:cs="ArialMT"/>
              </w:rPr>
              <w:t>a tempo</w:t>
            </w:r>
          </w:p>
          <w:p w:rsidR="00157358" w:rsidRPr="00286E65" w:rsidRDefault="00157358" w:rsidP="00157358">
            <w:proofErr w:type="gramStart"/>
            <w:r w:rsidRPr="00286E65">
              <w:rPr>
                <w:rFonts w:ascii="ArialMT" w:cs="ArialMT"/>
              </w:rPr>
              <w:t>indeterminato</w:t>
            </w:r>
            <w:proofErr w:type="gramEnd"/>
          </w:p>
        </w:tc>
        <w:tc>
          <w:tcPr>
            <w:tcW w:w="2126" w:type="dxa"/>
          </w:tcPr>
          <w:p w:rsidR="00157358" w:rsidRDefault="00157358" w:rsidP="00157358"/>
          <w:p w:rsidR="00157358" w:rsidRDefault="00157358" w:rsidP="00157358">
            <w:pPr>
              <w:jc w:val="center"/>
            </w:pPr>
            <w:r>
              <w:t>15.833,81</w:t>
            </w:r>
          </w:p>
        </w:tc>
        <w:tc>
          <w:tcPr>
            <w:tcW w:w="1985" w:type="dxa"/>
          </w:tcPr>
          <w:p w:rsidR="00157358" w:rsidRDefault="00157358" w:rsidP="00157358"/>
          <w:p w:rsidR="00157358" w:rsidRDefault="00157358" w:rsidP="00157358">
            <w:pPr>
              <w:jc w:val="center"/>
            </w:pPr>
            <w:r>
              <w:t>11.932,03</w:t>
            </w:r>
          </w:p>
        </w:tc>
        <w:tc>
          <w:tcPr>
            <w:tcW w:w="2126" w:type="dxa"/>
          </w:tcPr>
          <w:p w:rsidR="00157358" w:rsidRDefault="00157358" w:rsidP="00157358">
            <w:pPr>
              <w:jc w:val="center"/>
            </w:pPr>
          </w:p>
          <w:p w:rsidR="00157358" w:rsidRDefault="00157358" w:rsidP="00157358">
            <w:pPr>
              <w:jc w:val="center"/>
            </w:pPr>
            <w:r>
              <w:t>9.545,62</w:t>
            </w:r>
          </w:p>
        </w:tc>
        <w:tc>
          <w:tcPr>
            <w:tcW w:w="2835" w:type="dxa"/>
          </w:tcPr>
          <w:p w:rsidR="00157358" w:rsidRDefault="00157358" w:rsidP="00157358"/>
          <w:p w:rsidR="00157358" w:rsidRDefault="00157358" w:rsidP="00157358">
            <w:pPr>
              <w:jc w:val="center"/>
            </w:pPr>
            <w:r>
              <w:t>2.386,42</w:t>
            </w:r>
          </w:p>
          <w:p w:rsidR="00157358" w:rsidRDefault="00157358" w:rsidP="00157358">
            <w:pPr>
              <w:jc w:val="center"/>
            </w:pPr>
          </w:p>
        </w:tc>
      </w:tr>
      <w:tr w:rsidR="00157358" w:rsidTr="00157358">
        <w:tc>
          <w:tcPr>
            <w:tcW w:w="2972" w:type="dxa"/>
          </w:tcPr>
          <w:p w:rsidR="00157358" w:rsidRPr="00286E65" w:rsidRDefault="00157358" w:rsidP="00157358">
            <w:pPr>
              <w:autoSpaceDE w:val="0"/>
              <w:autoSpaceDN w:val="0"/>
              <w:adjustRightInd w:val="0"/>
              <w:rPr>
                <w:rFonts w:ascii="ArialMT" w:cs="ArialMT"/>
              </w:rPr>
            </w:pPr>
            <w:r w:rsidRPr="00286E65">
              <w:rPr>
                <w:rFonts w:ascii="ArialMT" w:cs="ArialMT"/>
              </w:rPr>
              <w:t>Personale docente</w:t>
            </w:r>
            <w:r>
              <w:rPr>
                <w:rFonts w:ascii="ArialMT" w:cs="ArialMT"/>
              </w:rPr>
              <w:t xml:space="preserve"> </w:t>
            </w:r>
            <w:r w:rsidRPr="00286E65">
              <w:rPr>
                <w:rFonts w:ascii="ArialMT" w:cs="ArialMT"/>
              </w:rPr>
              <w:t>non a tempo</w:t>
            </w:r>
          </w:p>
          <w:p w:rsidR="00157358" w:rsidRDefault="00157358" w:rsidP="00157358">
            <w:pPr>
              <w:rPr>
                <w:rFonts w:ascii="ArialMT" w:cs="ArialMT"/>
              </w:rPr>
            </w:pPr>
            <w:r w:rsidRPr="00286E65">
              <w:rPr>
                <w:rFonts w:ascii="ArialMT" w:cs="ArialMT"/>
              </w:rPr>
              <w:t>I</w:t>
            </w:r>
            <w:r w:rsidRPr="00286E65">
              <w:rPr>
                <w:rFonts w:ascii="ArialMT" w:cs="ArialMT"/>
              </w:rPr>
              <w:t>ndeterminato</w:t>
            </w:r>
          </w:p>
          <w:p w:rsidR="00157358" w:rsidRPr="00286E65" w:rsidRDefault="00157358" w:rsidP="00157358"/>
        </w:tc>
        <w:tc>
          <w:tcPr>
            <w:tcW w:w="9072" w:type="dxa"/>
            <w:gridSpan w:val="4"/>
            <w:vMerge w:val="restart"/>
          </w:tcPr>
          <w:p w:rsidR="00157358" w:rsidRDefault="00157358" w:rsidP="00157358">
            <w:pPr>
              <w:rPr>
                <w:rFonts w:ascii="ArialMT" w:cs="ArialMT"/>
                <w:sz w:val="24"/>
                <w:szCs w:val="24"/>
              </w:rPr>
            </w:pPr>
          </w:p>
          <w:p w:rsidR="00157358" w:rsidRPr="00157358" w:rsidRDefault="00157358" w:rsidP="00157358">
            <w:pPr>
              <w:rPr>
                <w:rFonts w:ascii="ArialMT" w:cs="ArialMT"/>
                <w:sz w:val="20"/>
                <w:szCs w:val="20"/>
              </w:rPr>
            </w:pPr>
            <w:r w:rsidRPr="00157358">
              <w:rPr>
                <w:rFonts w:ascii="ArialMT" w:cs="ArialMT"/>
                <w:sz w:val="20"/>
                <w:szCs w:val="20"/>
              </w:rPr>
              <w:t>Nell</w:t>
            </w:r>
            <w:r w:rsidRPr="00157358">
              <w:rPr>
                <w:rFonts w:ascii="ArialMT" w:cs="ArialMT" w:hint="cs"/>
                <w:sz w:val="20"/>
                <w:szCs w:val="20"/>
              </w:rPr>
              <w:t>’</w:t>
            </w:r>
            <w:r w:rsidRPr="00157358">
              <w:rPr>
                <w:rFonts w:ascii="ArialMT" w:cs="ArialMT"/>
                <w:sz w:val="20"/>
                <w:szCs w:val="20"/>
              </w:rPr>
              <w:t xml:space="preserve">A.S. 2015/2016 la normativa non prevedeva alcuna </w:t>
            </w:r>
            <w:proofErr w:type="spellStart"/>
            <w:r w:rsidRPr="00157358">
              <w:rPr>
                <w:rFonts w:ascii="ArialMT" w:cs="ArialMT"/>
                <w:sz w:val="20"/>
                <w:szCs w:val="20"/>
              </w:rPr>
              <w:t>premialit</w:t>
            </w:r>
            <w:r w:rsidRPr="00157358">
              <w:rPr>
                <w:rFonts w:ascii="ArialMT" w:cs="ArialMT" w:hint="cs"/>
                <w:sz w:val="20"/>
                <w:szCs w:val="20"/>
              </w:rPr>
              <w:t>à</w:t>
            </w:r>
            <w:proofErr w:type="spellEnd"/>
            <w:r w:rsidRPr="00157358">
              <w:rPr>
                <w:rFonts w:ascii="ArialMT" w:cs="ArialMT"/>
                <w:sz w:val="20"/>
                <w:szCs w:val="20"/>
              </w:rPr>
              <w:t xml:space="preserve"> per questa tipologia di personale</w:t>
            </w:r>
          </w:p>
          <w:p w:rsidR="00157358" w:rsidRDefault="00157358" w:rsidP="00157358">
            <w:pPr>
              <w:rPr>
                <w:rFonts w:ascii="ArialMT" w:cs="ArialMT"/>
                <w:sz w:val="24"/>
                <w:szCs w:val="24"/>
              </w:rPr>
            </w:pPr>
          </w:p>
        </w:tc>
      </w:tr>
      <w:tr w:rsidR="00157358" w:rsidTr="00157358">
        <w:tc>
          <w:tcPr>
            <w:tcW w:w="2972" w:type="dxa"/>
          </w:tcPr>
          <w:p w:rsidR="00157358" w:rsidRDefault="00157358" w:rsidP="00157358">
            <w:pPr>
              <w:rPr>
                <w:rFonts w:ascii="ArialMT" w:cs="ArialMT"/>
              </w:rPr>
            </w:pPr>
            <w:r w:rsidRPr="00286E65">
              <w:rPr>
                <w:rFonts w:ascii="ArialMT" w:cs="ArialMT"/>
              </w:rPr>
              <w:t>Personale ATA</w:t>
            </w:r>
          </w:p>
          <w:p w:rsidR="00157358" w:rsidRPr="00286E65" w:rsidRDefault="00157358" w:rsidP="00157358"/>
        </w:tc>
        <w:tc>
          <w:tcPr>
            <w:tcW w:w="9072" w:type="dxa"/>
            <w:gridSpan w:val="4"/>
            <w:vMerge/>
          </w:tcPr>
          <w:p w:rsidR="00157358" w:rsidRDefault="00157358" w:rsidP="00157358"/>
        </w:tc>
      </w:tr>
    </w:tbl>
    <w:p w:rsidR="00157358" w:rsidRDefault="00157358" w:rsidP="00286E65">
      <w:pPr>
        <w:jc w:val="center"/>
        <w:rPr>
          <w:rFonts w:ascii="Arial-BoldMT" w:cs="Arial-BoldMT"/>
          <w:b/>
          <w:bCs/>
          <w:sz w:val="28"/>
          <w:szCs w:val="28"/>
        </w:rPr>
      </w:pPr>
    </w:p>
    <w:p w:rsidR="00286E65" w:rsidRDefault="00286E65" w:rsidP="00286E65"/>
    <w:sectPr w:rsidR="00286E65" w:rsidSect="00286E6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65"/>
    <w:rsid w:val="000053FD"/>
    <w:rsid w:val="00016E6D"/>
    <w:rsid w:val="00056304"/>
    <w:rsid w:val="00080905"/>
    <w:rsid w:val="00083725"/>
    <w:rsid w:val="000906A6"/>
    <w:rsid w:val="000C54AA"/>
    <w:rsid w:val="000C67DE"/>
    <w:rsid w:val="000C68C4"/>
    <w:rsid w:val="000D18E1"/>
    <w:rsid w:val="000E2D34"/>
    <w:rsid w:val="000E3B89"/>
    <w:rsid w:val="000E67CF"/>
    <w:rsid w:val="000F610E"/>
    <w:rsid w:val="00101156"/>
    <w:rsid w:val="00107434"/>
    <w:rsid w:val="00121DEE"/>
    <w:rsid w:val="00132B40"/>
    <w:rsid w:val="00143400"/>
    <w:rsid w:val="00146A12"/>
    <w:rsid w:val="00157358"/>
    <w:rsid w:val="001C07DD"/>
    <w:rsid w:val="001C1AEA"/>
    <w:rsid w:val="001C52C2"/>
    <w:rsid w:val="001D0839"/>
    <w:rsid w:val="001F4473"/>
    <w:rsid w:val="001F7C85"/>
    <w:rsid w:val="0020030A"/>
    <w:rsid w:val="00201EEE"/>
    <w:rsid w:val="00214071"/>
    <w:rsid w:val="002242F6"/>
    <w:rsid w:val="00233923"/>
    <w:rsid w:val="00241F63"/>
    <w:rsid w:val="00274B99"/>
    <w:rsid w:val="00286144"/>
    <w:rsid w:val="00286E65"/>
    <w:rsid w:val="0029246F"/>
    <w:rsid w:val="002D6192"/>
    <w:rsid w:val="002E6957"/>
    <w:rsid w:val="002F56D3"/>
    <w:rsid w:val="00352281"/>
    <w:rsid w:val="00352CB6"/>
    <w:rsid w:val="003674BE"/>
    <w:rsid w:val="00371F22"/>
    <w:rsid w:val="00383325"/>
    <w:rsid w:val="003B40DE"/>
    <w:rsid w:val="003D4FE0"/>
    <w:rsid w:val="003E3737"/>
    <w:rsid w:val="003E5850"/>
    <w:rsid w:val="003F4F2C"/>
    <w:rsid w:val="00404B45"/>
    <w:rsid w:val="0041658D"/>
    <w:rsid w:val="004206CD"/>
    <w:rsid w:val="00440F76"/>
    <w:rsid w:val="00444293"/>
    <w:rsid w:val="004454EC"/>
    <w:rsid w:val="00446E6A"/>
    <w:rsid w:val="004515A1"/>
    <w:rsid w:val="00453340"/>
    <w:rsid w:val="00460EE6"/>
    <w:rsid w:val="0046423A"/>
    <w:rsid w:val="00465AA7"/>
    <w:rsid w:val="00471066"/>
    <w:rsid w:val="004B2875"/>
    <w:rsid w:val="004C0F3E"/>
    <w:rsid w:val="004C301C"/>
    <w:rsid w:val="004D0184"/>
    <w:rsid w:val="004D36D0"/>
    <w:rsid w:val="004E5FBD"/>
    <w:rsid w:val="00506634"/>
    <w:rsid w:val="00513937"/>
    <w:rsid w:val="0053128E"/>
    <w:rsid w:val="00560D3F"/>
    <w:rsid w:val="00561A92"/>
    <w:rsid w:val="00565CF6"/>
    <w:rsid w:val="00581DFC"/>
    <w:rsid w:val="005868BA"/>
    <w:rsid w:val="00587EE9"/>
    <w:rsid w:val="005B184E"/>
    <w:rsid w:val="005F029B"/>
    <w:rsid w:val="006005AA"/>
    <w:rsid w:val="006040E5"/>
    <w:rsid w:val="0060659D"/>
    <w:rsid w:val="00630A73"/>
    <w:rsid w:val="00642F81"/>
    <w:rsid w:val="00663DF3"/>
    <w:rsid w:val="0066756D"/>
    <w:rsid w:val="006767A4"/>
    <w:rsid w:val="00685181"/>
    <w:rsid w:val="006863BF"/>
    <w:rsid w:val="006A4B0D"/>
    <w:rsid w:val="0071437D"/>
    <w:rsid w:val="00725776"/>
    <w:rsid w:val="00740392"/>
    <w:rsid w:val="007536F1"/>
    <w:rsid w:val="007560A9"/>
    <w:rsid w:val="0076070D"/>
    <w:rsid w:val="007B00BE"/>
    <w:rsid w:val="007C5CD1"/>
    <w:rsid w:val="007C5D3C"/>
    <w:rsid w:val="008222F6"/>
    <w:rsid w:val="0082573B"/>
    <w:rsid w:val="00837A0C"/>
    <w:rsid w:val="008729D1"/>
    <w:rsid w:val="008773CD"/>
    <w:rsid w:val="00881271"/>
    <w:rsid w:val="00891F2A"/>
    <w:rsid w:val="00897D98"/>
    <w:rsid w:val="008B40EA"/>
    <w:rsid w:val="008C52C4"/>
    <w:rsid w:val="008D074A"/>
    <w:rsid w:val="00922344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E26E2"/>
    <w:rsid w:val="009E7E50"/>
    <w:rsid w:val="00A00C4F"/>
    <w:rsid w:val="00A80911"/>
    <w:rsid w:val="00A845FD"/>
    <w:rsid w:val="00A942FE"/>
    <w:rsid w:val="00A978BC"/>
    <w:rsid w:val="00AA3383"/>
    <w:rsid w:val="00AC2C3E"/>
    <w:rsid w:val="00AC400D"/>
    <w:rsid w:val="00AE7F83"/>
    <w:rsid w:val="00AF198C"/>
    <w:rsid w:val="00B11466"/>
    <w:rsid w:val="00B2509A"/>
    <w:rsid w:val="00B36639"/>
    <w:rsid w:val="00B3750B"/>
    <w:rsid w:val="00B43DCA"/>
    <w:rsid w:val="00B62C7C"/>
    <w:rsid w:val="00B712BA"/>
    <w:rsid w:val="00B747E7"/>
    <w:rsid w:val="00B97580"/>
    <w:rsid w:val="00BA572E"/>
    <w:rsid w:val="00BB3386"/>
    <w:rsid w:val="00BB33BB"/>
    <w:rsid w:val="00BB6A79"/>
    <w:rsid w:val="00BC1E63"/>
    <w:rsid w:val="00BF18F0"/>
    <w:rsid w:val="00C139E1"/>
    <w:rsid w:val="00C17E31"/>
    <w:rsid w:val="00C33C1F"/>
    <w:rsid w:val="00C46717"/>
    <w:rsid w:val="00C50FED"/>
    <w:rsid w:val="00C75978"/>
    <w:rsid w:val="00C92F56"/>
    <w:rsid w:val="00CA4772"/>
    <w:rsid w:val="00CA52B3"/>
    <w:rsid w:val="00CA6EF9"/>
    <w:rsid w:val="00CB324B"/>
    <w:rsid w:val="00CC4587"/>
    <w:rsid w:val="00CF3033"/>
    <w:rsid w:val="00CF649E"/>
    <w:rsid w:val="00D060DF"/>
    <w:rsid w:val="00D06AF5"/>
    <w:rsid w:val="00D25FDC"/>
    <w:rsid w:val="00D26850"/>
    <w:rsid w:val="00D50A3C"/>
    <w:rsid w:val="00D7064A"/>
    <w:rsid w:val="00D706B3"/>
    <w:rsid w:val="00DB5710"/>
    <w:rsid w:val="00DC69FC"/>
    <w:rsid w:val="00DE1998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4A89"/>
    <w:rsid w:val="00F13E54"/>
    <w:rsid w:val="00F24CDB"/>
    <w:rsid w:val="00F45214"/>
    <w:rsid w:val="00F56506"/>
    <w:rsid w:val="00F63B62"/>
    <w:rsid w:val="00F82191"/>
    <w:rsid w:val="00F976EF"/>
    <w:rsid w:val="00FA456D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F2148-FFBD-4746-8877-86FAC895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86E6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6E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sr.istruzione.lombardia.gov.it/trasparenza/ammontare-complessivo-dei-prem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2017-05-17T11:35:00Z</dcterms:created>
  <dcterms:modified xsi:type="dcterms:W3CDTF">2017-05-17T11:59:00Z</dcterms:modified>
</cp:coreProperties>
</file>